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59" w:rsidRDefault="00555C59" w:rsidP="00555C59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République Algérienne Démocratique et Populaire</w:t>
      </w:r>
    </w:p>
    <w:p w:rsidR="00D5719A" w:rsidRDefault="00555C59" w:rsidP="00555C59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555C59">
        <w:rPr>
          <w:rFonts w:ascii="Comic Sans MS" w:hAnsi="Comic Sans MS"/>
          <w:b/>
          <w:bCs/>
          <w:sz w:val="36"/>
          <w:szCs w:val="36"/>
        </w:rPr>
        <w:t>Ministère des Ressources en Eau</w:t>
      </w:r>
    </w:p>
    <w:p w:rsidR="00555C59" w:rsidRPr="00555C59" w:rsidRDefault="00555C59" w:rsidP="00555C59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555C59" w:rsidRPr="00555C59" w:rsidRDefault="00555C59" w:rsidP="00555C59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555C59">
        <w:rPr>
          <w:rFonts w:ascii="Comic Sans MS" w:hAnsi="Comic Sans MS"/>
          <w:b/>
          <w:bCs/>
          <w:sz w:val="36"/>
          <w:szCs w:val="36"/>
        </w:rPr>
        <w:t>Office National de l’Assainissement</w:t>
      </w:r>
    </w:p>
    <w:p w:rsidR="00555C59" w:rsidRPr="00555C59" w:rsidRDefault="00555C59" w:rsidP="00555C59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555C59">
        <w:rPr>
          <w:rFonts w:ascii="Comic Sans MS" w:hAnsi="Comic Sans MS"/>
          <w:b/>
          <w:bCs/>
          <w:sz w:val="36"/>
          <w:szCs w:val="36"/>
        </w:rPr>
        <w:t>ONA</w:t>
      </w:r>
    </w:p>
    <w:p w:rsidR="00555C59" w:rsidRDefault="00555C59" w:rsidP="00555C59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:rsidR="00555C59" w:rsidRDefault="00555C59" w:rsidP="00555C59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555C59">
        <w:rPr>
          <w:rFonts w:ascii="Comic Sans MS" w:hAnsi="Comic Sans MS"/>
          <w:b/>
          <w:bCs/>
          <w:sz w:val="32"/>
          <w:szCs w:val="32"/>
        </w:rPr>
        <w:t>Avis d’Attribution Provisoire de Marché</w:t>
      </w:r>
    </w:p>
    <w:p w:rsidR="00555C59" w:rsidRDefault="00555C59" w:rsidP="00555C59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555C59" w:rsidRDefault="00555C59" w:rsidP="00555C59">
      <w:pPr>
        <w:jc w:val="center"/>
        <w:rPr>
          <w:rFonts w:ascii="Comic Sans MS" w:hAnsi="Comic Sans MS"/>
          <w:sz w:val="28"/>
          <w:szCs w:val="28"/>
        </w:rPr>
      </w:pPr>
      <w:r w:rsidRPr="00555C59">
        <w:rPr>
          <w:rFonts w:ascii="Comic Sans MS" w:hAnsi="Comic Sans MS"/>
          <w:sz w:val="28"/>
          <w:szCs w:val="28"/>
        </w:rPr>
        <w:t xml:space="preserve">Relatif </w:t>
      </w:r>
      <w:r>
        <w:rPr>
          <w:rFonts w:ascii="Comic Sans MS" w:hAnsi="Comic Sans MS"/>
          <w:sz w:val="28"/>
          <w:szCs w:val="28"/>
        </w:rPr>
        <w:t>à l’appel d’offres national et international restreint N°05/DG/ONA/2009</w:t>
      </w:r>
    </w:p>
    <w:p w:rsidR="00555C59" w:rsidRDefault="00555C59" w:rsidP="00555C59">
      <w:pPr>
        <w:jc w:val="center"/>
        <w:rPr>
          <w:rFonts w:ascii="Comic Sans MS" w:hAnsi="Comic Sans MS"/>
          <w:sz w:val="28"/>
          <w:szCs w:val="28"/>
        </w:rPr>
      </w:pPr>
    </w:p>
    <w:p w:rsidR="003B416C" w:rsidRDefault="00555C59" w:rsidP="00D94CED">
      <w:pPr>
        <w:jc w:val="both"/>
      </w:pPr>
      <w:r>
        <w:rPr>
          <w:rFonts w:ascii="Comic Sans MS" w:hAnsi="Comic Sans MS"/>
          <w:sz w:val="22"/>
          <w:szCs w:val="22"/>
        </w:rPr>
        <w:t xml:space="preserve">Conformément aux dispositions de l’article 43 du </w:t>
      </w:r>
      <w:r w:rsidR="00083F3B">
        <w:rPr>
          <w:rFonts w:ascii="Comic Sans MS" w:hAnsi="Comic Sans MS"/>
          <w:sz w:val="22"/>
          <w:szCs w:val="22"/>
        </w:rPr>
        <w:t>décret</w:t>
      </w:r>
      <w:r>
        <w:rPr>
          <w:rFonts w:ascii="Comic Sans MS" w:hAnsi="Comic Sans MS"/>
          <w:sz w:val="22"/>
          <w:szCs w:val="22"/>
        </w:rPr>
        <w:t xml:space="preserve"> présidentiel N°02-250 du 24 Juillet 2002  portant réglementation des marchés publics modifié et complété, l’Office National de l’Assainissement –ONA- informe les soumissionnaires ayant participé à l’appel d’offres national et international restreint N°05/DG/ONA/2009 intitulé « Contrôle et suivi des travaux de réhabilitation , extension  et exploitation de la station d’épuration </w:t>
      </w:r>
      <w:r w:rsidR="00995F8C">
        <w:rPr>
          <w:rFonts w:ascii="Comic Sans MS" w:hAnsi="Comic Sans MS"/>
          <w:sz w:val="22"/>
          <w:szCs w:val="22"/>
        </w:rPr>
        <w:t>des eaux usées urbaines de la ville de Djelfa » publié dans les quotidiens nationaux </w:t>
      </w:r>
      <w:r w:rsidR="004C066C">
        <w:rPr>
          <w:rFonts w:ascii="Comic Sans MS" w:hAnsi="Comic Sans MS"/>
          <w:sz w:val="22"/>
          <w:szCs w:val="22"/>
        </w:rPr>
        <w:t>que l’évaluation des offres a donné les résultats suivants :</w:t>
      </w:r>
    </w:p>
    <w:p w:rsidR="003B416C" w:rsidRDefault="003B416C"/>
    <w:tbl>
      <w:tblPr>
        <w:tblW w:w="104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20"/>
        <w:gridCol w:w="1440"/>
        <w:gridCol w:w="1980"/>
        <w:gridCol w:w="1620"/>
        <w:gridCol w:w="1440"/>
        <w:gridCol w:w="1440"/>
      </w:tblGrid>
      <w:tr w:rsidR="00B067ED" w:rsidRPr="00B067ED" w:rsidTr="00B067ED">
        <w:trPr>
          <w:trHeight w:val="504"/>
        </w:trPr>
        <w:tc>
          <w:tcPr>
            <w:tcW w:w="2520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3B416C" w:rsidRPr="00B067ED" w:rsidRDefault="003B416C" w:rsidP="00B067ED">
            <w:pPr>
              <w:jc w:val="center"/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</w:pPr>
            <w:r w:rsidRPr="00B067ED">
              <w:rPr>
                <w:rFonts w:ascii="Comic Sans MS" w:hAnsi="Comic Sans MS" w:cs="Arial"/>
                <w:b/>
                <w:sz w:val="22"/>
                <w:szCs w:val="22"/>
              </w:rPr>
              <w:t>Soumissionnaires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3B416C" w:rsidRPr="00B067ED" w:rsidRDefault="003B416C" w:rsidP="00B067ED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B067ED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 xml:space="preserve">Note </w:t>
            </w:r>
          </w:p>
          <w:p w:rsidR="003B416C" w:rsidRPr="00B067ED" w:rsidRDefault="003B416C" w:rsidP="00B067ED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B067ED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 xml:space="preserve"> technique / 70</w:t>
            </w:r>
          </w:p>
        </w:tc>
        <w:tc>
          <w:tcPr>
            <w:tcW w:w="5040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B416C" w:rsidRPr="00B067ED" w:rsidRDefault="00C95455" w:rsidP="00B067ED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B067ED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Evaluation financière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B416C" w:rsidRPr="00B067ED" w:rsidRDefault="003B416C" w:rsidP="00B067ED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B067ED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Classement</w:t>
            </w:r>
          </w:p>
        </w:tc>
      </w:tr>
      <w:tr w:rsidR="00B067ED" w:rsidRPr="00B067ED" w:rsidTr="00B067ED">
        <w:tc>
          <w:tcPr>
            <w:tcW w:w="2520" w:type="dxa"/>
            <w:vMerge/>
            <w:vAlign w:val="center"/>
          </w:tcPr>
          <w:p w:rsidR="003B416C" w:rsidRPr="00B067ED" w:rsidRDefault="003B416C" w:rsidP="00B067ED">
            <w:pPr>
              <w:jc w:val="center"/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3B416C" w:rsidRPr="00B067ED" w:rsidRDefault="003B416C" w:rsidP="00B067ED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B416C" w:rsidRPr="00B067ED" w:rsidRDefault="003B416C" w:rsidP="00B067ED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B067ED">
              <w:rPr>
                <w:rFonts w:ascii="Comic Sans MS" w:hAnsi="Comic Sans MS" w:cs="Arial"/>
                <w:b/>
                <w:sz w:val="22"/>
                <w:szCs w:val="22"/>
              </w:rPr>
              <w:t xml:space="preserve">Montant corrigé </w:t>
            </w:r>
          </w:p>
          <w:p w:rsidR="003B416C" w:rsidRPr="00B067ED" w:rsidRDefault="003B416C" w:rsidP="00B067ED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B067ED">
              <w:rPr>
                <w:rFonts w:ascii="Comic Sans MS" w:hAnsi="Comic Sans MS" w:cs="Arial"/>
                <w:b/>
                <w:sz w:val="22"/>
                <w:szCs w:val="22"/>
              </w:rPr>
              <w:t xml:space="preserve">de l’offre </w:t>
            </w:r>
          </w:p>
          <w:p w:rsidR="003B416C" w:rsidRPr="00B067ED" w:rsidRDefault="003B416C" w:rsidP="00B067ED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B416C" w:rsidRPr="00B067ED" w:rsidRDefault="00C95455" w:rsidP="00B067ED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B067ED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 xml:space="preserve">Note </w:t>
            </w:r>
            <w:r w:rsidR="003B416C" w:rsidRPr="00B067ED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 xml:space="preserve"> financière / 30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B416C" w:rsidRPr="00B067ED" w:rsidRDefault="003B416C" w:rsidP="00B067ED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B067ED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Total/100 pts</w:t>
            </w:r>
          </w:p>
        </w:tc>
        <w:tc>
          <w:tcPr>
            <w:tcW w:w="1440" w:type="dxa"/>
            <w:vMerge/>
            <w:tcBorders>
              <w:top w:val="single" w:sz="6" w:space="0" w:color="auto"/>
            </w:tcBorders>
            <w:vAlign w:val="center"/>
          </w:tcPr>
          <w:p w:rsidR="003B416C" w:rsidRPr="00B067ED" w:rsidRDefault="003B416C" w:rsidP="00B067ED">
            <w:pPr>
              <w:jc w:val="center"/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</w:pPr>
          </w:p>
        </w:tc>
      </w:tr>
      <w:tr w:rsidR="00B067ED" w:rsidRPr="00B067ED" w:rsidTr="00B067ED">
        <w:trPr>
          <w:trHeight w:val="542"/>
        </w:trPr>
        <w:tc>
          <w:tcPr>
            <w:tcW w:w="2520" w:type="dxa"/>
            <w:vAlign w:val="center"/>
          </w:tcPr>
          <w:p w:rsidR="003B416C" w:rsidRPr="00B067ED" w:rsidRDefault="003B416C" w:rsidP="00B067ED">
            <w:pPr>
              <w:jc w:val="center"/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</w:pPr>
            <w:r w:rsidRPr="00B067ED">
              <w:rPr>
                <w:rFonts w:ascii="Comic Sans MS" w:hAnsi="Comic Sans MS" w:cs="Arial"/>
                <w:b/>
                <w:caps/>
                <w:sz w:val="22"/>
                <w:szCs w:val="22"/>
              </w:rPr>
              <w:t xml:space="preserve">dessau </w:t>
            </w:r>
            <w:r w:rsidRPr="00B067ED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International</w:t>
            </w:r>
            <w:r w:rsidR="004B2012" w:rsidRPr="00B067ED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 xml:space="preserve"> (CANADA)</w:t>
            </w:r>
          </w:p>
        </w:tc>
        <w:tc>
          <w:tcPr>
            <w:tcW w:w="1440" w:type="dxa"/>
            <w:vAlign w:val="center"/>
          </w:tcPr>
          <w:p w:rsidR="003B416C" w:rsidRPr="00B067ED" w:rsidRDefault="003B416C" w:rsidP="00B067ED">
            <w:pPr>
              <w:jc w:val="center"/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</w:pPr>
            <w:r w:rsidRPr="00B067ED">
              <w:rPr>
                <w:rFonts w:ascii="Comic Sans MS" w:hAnsi="Comic Sans MS" w:cs="Arial"/>
                <w:sz w:val="22"/>
                <w:szCs w:val="22"/>
              </w:rPr>
              <w:t xml:space="preserve">64,29 </w:t>
            </w:r>
          </w:p>
        </w:tc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3B416C" w:rsidRPr="00B067ED" w:rsidRDefault="003B416C" w:rsidP="00B067ED">
            <w:pPr>
              <w:jc w:val="both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  <w:p w:rsidR="003B416C" w:rsidRPr="00B067ED" w:rsidRDefault="003B416C" w:rsidP="00B067ED">
            <w:pPr>
              <w:jc w:val="both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B067ED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 xml:space="preserve">221 258 255,33 </w:t>
            </w:r>
          </w:p>
          <w:p w:rsidR="003B416C" w:rsidRPr="00B067ED" w:rsidRDefault="003B416C" w:rsidP="00B067ED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:rsidR="003B416C" w:rsidRPr="00B067ED" w:rsidRDefault="003B416C" w:rsidP="00B067ED">
            <w:pPr>
              <w:jc w:val="center"/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</w:pPr>
            <w:r w:rsidRPr="00B067ED">
              <w:rPr>
                <w:rFonts w:ascii="Comic Sans MS" w:hAnsi="Comic Sans MS" w:cs="Arial"/>
                <w:sz w:val="22"/>
                <w:szCs w:val="22"/>
                <w:lang w:val="it-IT"/>
              </w:rPr>
              <w:t xml:space="preserve">23,14 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3B416C" w:rsidRPr="00B067ED" w:rsidRDefault="003B416C" w:rsidP="00B067ED">
            <w:pPr>
              <w:jc w:val="center"/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</w:pPr>
            <w:r w:rsidRPr="00B067ED"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  <w:t xml:space="preserve">87,43  </w:t>
            </w:r>
          </w:p>
        </w:tc>
        <w:tc>
          <w:tcPr>
            <w:tcW w:w="1440" w:type="dxa"/>
            <w:vAlign w:val="center"/>
          </w:tcPr>
          <w:p w:rsidR="003B416C" w:rsidRPr="00B067ED" w:rsidRDefault="003B416C" w:rsidP="00B067ED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B067ED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067ED" w:rsidRPr="00B067ED" w:rsidTr="00B067ED">
        <w:trPr>
          <w:trHeight w:val="521"/>
        </w:trPr>
        <w:tc>
          <w:tcPr>
            <w:tcW w:w="2520" w:type="dxa"/>
            <w:vAlign w:val="center"/>
          </w:tcPr>
          <w:p w:rsidR="003B416C" w:rsidRPr="00B067ED" w:rsidRDefault="003B416C" w:rsidP="00B067ED">
            <w:pPr>
              <w:pStyle w:val="Corpsdetexte"/>
              <w:jc w:val="center"/>
              <w:rPr>
                <w:rFonts w:ascii="Comic Sans MS" w:hAnsi="Comic Sans MS" w:cs="Arial"/>
                <w:b/>
                <w:caps/>
                <w:sz w:val="22"/>
                <w:szCs w:val="22"/>
              </w:rPr>
            </w:pPr>
            <w:r w:rsidRPr="00B067ED">
              <w:rPr>
                <w:rFonts w:ascii="Comic Sans MS" w:hAnsi="Comic Sans MS" w:cs="Arial"/>
                <w:b/>
                <w:caps/>
                <w:sz w:val="22"/>
                <w:szCs w:val="22"/>
              </w:rPr>
              <w:t>prointec</w:t>
            </w:r>
          </w:p>
          <w:p w:rsidR="004B2012" w:rsidRPr="00B067ED" w:rsidRDefault="004B2012" w:rsidP="00B067ED">
            <w:pPr>
              <w:pStyle w:val="Corpsdetexte"/>
              <w:jc w:val="center"/>
              <w:rPr>
                <w:rFonts w:ascii="Comic Sans MS" w:hAnsi="Comic Sans MS" w:cs="Arial"/>
                <w:b/>
                <w:caps/>
                <w:sz w:val="22"/>
                <w:szCs w:val="22"/>
              </w:rPr>
            </w:pPr>
            <w:r w:rsidRPr="00B067ED">
              <w:rPr>
                <w:rFonts w:ascii="Comic Sans MS" w:hAnsi="Comic Sans MS" w:cs="Arial"/>
                <w:b/>
                <w:caps/>
                <w:sz w:val="22"/>
                <w:szCs w:val="22"/>
              </w:rPr>
              <w:t>(Espagne)</w:t>
            </w:r>
          </w:p>
        </w:tc>
        <w:tc>
          <w:tcPr>
            <w:tcW w:w="1440" w:type="dxa"/>
            <w:vAlign w:val="center"/>
          </w:tcPr>
          <w:p w:rsidR="003B416C" w:rsidRPr="00B067ED" w:rsidRDefault="003B416C" w:rsidP="00B067ED">
            <w:pPr>
              <w:jc w:val="center"/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</w:pPr>
            <w:r w:rsidRPr="00B067ED">
              <w:rPr>
                <w:rFonts w:ascii="Comic Sans MS" w:hAnsi="Comic Sans MS" w:cs="Arial"/>
                <w:sz w:val="22"/>
                <w:szCs w:val="22"/>
              </w:rPr>
              <w:t xml:space="preserve">58,92  </w:t>
            </w:r>
          </w:p>
        </w:tc>
        <w:tc>
          <w:tcPr>
            <w:tcW w:w="1980" w:type="dxa"/>
            <w:vAlign w:val="center"/>
          </w:tcPr>
          <w:p w:rsidR="003B416C" w:rsidRPr="00B067ED" w:rsidRDefault="003B416C" w:rsidP="00B067ED">
            <w:pPr>
              <w:jc w:val="both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  <w:p w:rsidR="003B416C" w:rsidRPr="00B067ED" w:rsidRDefault="003B416C" w:rsidP="00B067ED">
            <w:pPr>
              <w:jc w:val="both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B067ED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 xml:space="preserve">267 902 121,76 </w:t>
            </w:r>
          </w:p>
          <w:p w:rsidR="003B416C" w:rsidRPr="00B067ED" w:rsidRDefault="003B416C" w:rsidP="00B067ED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B416C" w:rsidRPr="00B067ED" w:rsidRDefault="003B416C" w:rsidP="00B067ED">
            <w:pPr>
              <w:jc w:val="center"/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</w:pPr>
            <w:r w:rsidRPr="00B067ED">
              <w:rPr>
                <w:rFonts w:ascii="Comic Sans MS" w:hAnsi="Comic Sans MS" w:cs="Arial"/>
                <w:sz w:val="22"/>
                <w:szCs w:val="22"/>
                <w:lang w:val="it-IT"/>
              </w:rPr>
              <w:t xml:space="preserve">19,30 </w:t>
            </w:r>
          </w:p>
        </w:tc>
        <w:tc>
          <w:tcPr>
            <w:tcW w:w="1440" w:type="dxa"/>
            <w:vAlign w:val="center"/>
          </w:tcPr>
          <w:p w:rsidR="003B416C" w:rsidRPr="00B067ED" w:rsidRDefault="003B416C" w:rsidP="00B067ED">
            <w:pPr>
              <w:jc w:val="center"/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</w:pPr>
            <w:r w:rsidRPr="00B067ED"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  <w:t xml:space="preserve">78,22  </w:t>
            </w:r>
          </w:p>
        </w:tc>
        <w:tc>
          <w:tcPr>
            <w:tcW w:w="1440" w:type="dxa"/>
            <w:vAlign w:val="center"/>
          </w:tcPr>
          <w:p w:rsidR="003B416C" w:rsidRPr="00B067ED" w:rsidRDefault="003B416C" w:rsidP="00B067ED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B067ED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B067ED" w:rsidRPr="00B067ED" w:rsidTr="00B067ED">
        <w:trPr>
          <w:trHeight w:val="542"/>
        </w:trPr>
        <w:tc>
          <w:tcPr>
            <w:tcW w:w="2520" w:type="dxa"/>
            <w:vAlign w:val="center"/>
          </w:tcPr>
          <w:p w:rsidR="003B416C" w:rsidRPr="00B067ED" w:rsidRDefault="003B416C" w:rsidP="00B067ED">
            <w:pPr>
              <w:jc w:val="center"/>
              <w:rPr>
                <w:rFonts w:ascii="Comic Sans MS" w:hAnsi="Comic Sans MS" w:cs="Arial"/>
                <w:b/>
                <w:caps/>
                <w:sz w:val="22"/>
                <w:szCs w:val="22"/>
                <w:lang w:val="en-GB"/>
              </w:rPr>
            </w:pPr>
            <w:r w:rsidRPr="00B067ED">
              <w:rPr>
                <w:rFonts w:ascii="Comic Sans MS" w:hAnsi="Comic Sans MS" w:cs="Arial"/>
                <w:b/>
                <w:caps/>
                <w:sz w:val="22"/>
                <w:szCs w:val="22"/>
                <w:lang w:val="en-GB"/>
              </w:rPr>
              <w:t>smi/cth</w:t>
            </w:r>
          </w:p>
          <w:p w:rsidR="00194583" w:rsidRPr="00B067ED" w:rsidRDefault="00194583" w:rsidP="00B067ED">
            <w:pPr>
              <w:jc w:val="center"/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</w:pPr>
            <w:r w:rsidRPr="00B067ED">
              <w:rPr>
                <w:rFonts w:ascii="Comic Sans MS" w:hAnsi="Comic Sans MS" w:cs="Arial"/>
                <w:b/>
                <w:caps/>
                <w:sz w:val="22"/>
                <w:szCs w:val="22"/>
                <w:lang w:val="en-GB"/>
              </w:rPr>
              <w:t>(CANADA-ALGERIE)</w:t>
            </w:r>
          </w:p>
        </w:tc>
        <w:tc>
          <w:tcPr>
            <w:tcW w:w="1440" w:type="dxa"/>
            <w:vAlign w:val="center"/>
          </w:tcPr>
          <w:p w:rsidR="003B416C" w:rsidRPr="00B067ED" w:rsidRDefault="003B416C" w:rsidP="00B067ED">
            <w:pPr>
              <w:jc w:val="center"/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</w:pPr>
            <w:r w:rsidRPr="00B067ED">
              <w:rPr>
                <w:rFonts w:ascii="Comic Sans MS" w:hAnsi="Comic Sans MS" w:cs="Arial"/>
                <w:smallCaps/>
                <w:sz w:val="22"/>
                <w:szCs w:val="22"/>
              </w:rPr>
              <w:t xml:space="preserve">56,14 </w:t>
            </w:r>
            <w:r w:rsidRPr="00B067ED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3B416C" w:rsidRPr="00B067ED" w:rsidRDefault="003B416C" w:rsidP="00B067ED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B067ED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182 138 653,77</w:t>
            </w:r>
            <w:r w:rsidRPr="00B067ED"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3B416C" w:rsidRPr="00B067ED" w:rsidRDefault="003B416C" w:rsidP="00B067ED">
            <w:pPr>
              <w:jc w:val="center"/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</w:pPr>
            <w:r w:rsidRPr="00B067ED">
              <w:rPr>
                <w:rFonts w:ascii="Comic Sans MS" w:hAnsi="Comic Sans MS" w:cs="Arial"/>
                <w:sz w:val="22"/>
                <w:szCs w:val="22"/>
                <w:lang w:val="it-IT"/>
              </w:rPr>
              <w:t xml:space="preserve">30 </w:t>
            </w:r>
          </w:p>
        </w:tc>
        <w:tc>
          <w:tcPr>
            <w:tcW w:w="1440" w:type="dxa"/>
            <w:vAlign w:val="center"/>
          </w:tcPr>
          <w:p w:rsidR="003B416C" w:rsidRPr="00B067ED" w:rsidRDefault="003B416C" w:rsidP="00B067ED">
            <w:pPr>
              <w:jc w:val="center"/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</w:pPr>
            <w:r w:rsidRPr="00B067ED"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  <w:t xml:space="preserve">86,14  </w:t>
            </w:r>
          </w:p>
        </w:tc>
        <w:tc>
          <w:tcPr>
            <w:tcW w:w="1440" w:type="dxa"/>
            <w:vAlign w:val="center"/>
          </w:tcPr>
          <w:p w:rsidR="003B416C" w:rsidRPr="00B067ED" w:rsidRDefault="003B416C" w:rsidP="00B067ED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B067ED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3B416C" w:rsidRDefault="003B416C"/>
    <w:p w:rsidR="003B416C" w:rsidRDefault="004C066C" w:rsidP="0020004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 bureau d’études DESSAU International est retenu provisoirement pour les prestations de « Contrôle et suivi de la station d’épuration de Djelfa » pour un montant </w:t>
      </w:r>
      <w:r w:rsidR="00EC4308">
        <w:rPr>
          <w:rFonts w:ascii="Comic Sans MS" w:hAnsi="Comic Sans MS"/>
          <w:sz w:val="22"/>
          <w:szCs w:val="22"/>
        </w:rPr>
        <w:t xml:space="preserve"> hors taxe de 64 401 968DA et 1 722 635$CAD et un délai  global de 40 mois. 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4C066C" w:rsidRPr="004C066C" w:rsidRDefault="004B2012" w:rsidP="00384F5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Conformément</w:t>
      </w:r>
      <w:r w:rsidR="004C066C">
        <w:rPr>
          <w:rFonts w:ascii="Comic Sans MS" w:hAnsi="Comic Sans MS"/>
          <w:sz w:val="22"/>
          <w:szCs w:val="22"/>
        </w:rPr>
        <w:t xml:space="preserve"> aux dispositions de l’article 101 du </w:t>
      </w:r>
      <w:r w:rsidR="0010684F">
        <w:rPr>
          <w:rFonts w:ascii="Comic Sans MS" w:hAnsi="Comic Sans MS"/>
          <w:sz w:val="22"/>
          <w:szCs w:val="22"/>
        </w:rPr>
        <w:t>décret</w:t>
      </w:r>
      <w:r w:rsidR="004C066C">
        <w:rPr>
          <w:rFonts w:ascii="Comic Sans MS" w:hAnsi="Comic Sans MS"/>
          <w:sz w:val="22"/>
          <w:szCs w:val="22"/>
        </w:rPr>
        <w:t xml:space="preserve"> présidentiel N°02-250 du  24 Juillet 2002 modifié et complété les soumissionnaires qui contestent ce choix, peuvent introduire </w:t>
      </w:r>
      <w:r w:rsidR="000666AB">
        <w:rPr>
          <w:rFonts w:ascii="Comic Sans MS" w:hAnsi="Comic Sans MS"/>
          <w:sz w:val="22"/>
          <w:szCs w:val="22"/>
        </w:rPr>
        <w:t>un</w:t>
      </w:r>
      <w:r w:rsidR="004C066C">
        <w:rPr>
          <w:rFonts w:ascii="Comic Sans MS" w:hAnsi="Comic Sans MS"/>
          <w:sz w:val="22"/>
          <w:szCs w:val="22"/>
        </w:rPr>
        <w:t xml:space="preserve"> recours auprès de la commission national des marchés </w:t>
      </w:r>
      <w:r w:rsidR="008B4D8C">
        <w:rPr>
          <w:rFonts w:ascii="Comic Sans MS" w:hAnsi="Comic Sans MS"/>
          <w:sz w:val="22"/>
          <w:szCs w:val="22"/>
        </w:rPr>
        <w:t xml:space="preserve">étude et fournitures </w:t>
      </w:r>
      <w:r w:rsidR="004C066C">
        <w:rPr>
          <w:rFonts w:ascii="Comic Sans MS" w:hAnsi="Comic Sans MS"/>
          <w:sz w:val="22"/>
          <w:szCs w:val="22"/>
        </w:rPr>
        <w:t>dans un délai de dix jours</w:t>
      </w:r>
      <w:r>
        <w:rPr>
          <w:rFonts w:ascii="Comic Sans MS" w:hAnsi="Comic Sans MS"/>
          <w:sz w:val="22"/>
          <w:szCs w:val="22"/>
        </w:rPr>
        <w:t xml:space="preserve"> (10), à compter de la première parution du présent avis.</w:t>
      </w:r>
    </w:p>
    <w:sectPr w:rsidR="004C066C" w:rsidRPr="004C066C" w:rsidSect="003B416C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16C"/>
    <w:rsid w:val="000666AB"/>
    <w:rsid w:val="00083F3B"/>
    <w:rsid w:val="0010684F"/>
    <w:rsid w:val="00111A4D"/>
    <w:rsid w:val="00194583"/>
    <w:rsid w:val="001C2134"/>
    <w:rsid w:val="00200043"/>
    <w:rsid w:val="002816EC"/>
    <w:rsid w:val="00384F5E"/>
    <w:rsid w:val="00392C03"/>
    <w:rsid w:val="003B416C"/>
    <w:rsid w:val="00481775"/>
    <w:rsid w:val="004B2012"/>
    <w:rsid w:val="004C066C"/>
    <w:rsid w:val="00555C59"/>
    <w:rsid w:val="00771AEC"/>
    <w:rsid w:val="008B4D8C"/>
    <w:rsid w:val="00995F8C"/>
    <w:rsid w:val="00B067ED"/>
    <w:rsid w:val="00C95455"/>
    <w:rsid w:val="00D5719A"/>
    <w:rsid w:val="00D94CED"/>
    <w:rsid w:val="00EB3FBE"/>
    <w:rsid w:val="00EC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16C"/>
  </w:style>
  <w:style w:type="paragraph" w:styleId="Titre3">
    <w:name w:val="heading 3"/>
    <w:basedOn w:val="Normal"/>
    <w:next w:val="Normal"/>
    <w:qFormat/>
    <w:rsid w:val="00EB3FBE"/>
    <w:pPr>
      <w:keepNext/>
      <w:bidi/>
      <w:jc w:val="center"/>
      <w:outlineLvl w:val="2"/>
    </w:pPr>
    <w:rPr>
      <w:rFonts w:cs="Arabic Transparent"/>
      <w:b/>
      <w:bCs/>
      <w:szCs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3B4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3B416C"/>
    <w:pPr>
      <w:spacing w:after="120"/>
    </w:pPr>
    <w:rPr>
      <w:sz w:val="24"/>
      <w:szCs w:val="24"/>
    </w:rPr>
  </w:style>
  <w:style w:type="paragraph" w:styleId="Titre">
    <w:name w:val="Title"/>
    <w:basedOn w:val="Normal"/>
    <w:qFormat/>
    <w:rsid w:val="00EB3FBE"/>
    <w:pPr>
      <w:bidi/>
      <w:jc w:val="center"/>
    </w:pPr>
    <w:rPr>
      <w:rFonts w:cs="Arabic Transparent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Boomscud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lrahem</dc:creator>
  <cp:lastModifiedBy>karim</cp:lastModifiedBy>
  <cp:revision>2</cp:revision>
  <cp:lastPrinted>2009-10-25T14:27:00Z</cp:lastPrinted>
  <dcterms:created xsi:type="dcterms:W3CDTF">2011-10-17T10:34:00Z</dcterms:created>
  <dcterms:modified xsi:type="dcterms:W3CDTF">2011-10-17T10:34:00Z</dcterms:modified>
</cp:coreProperties>
</file>